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Kế hoạch Phòng chống Quấy rối Tình dục</w:t>
      </w:r>
    </w:p>
    <w:p>
      <w:pPr>
        <w:jc w:val="center"/>
      </w:pPr>
      <w:r>
        <w:rPr>
          <w:b/>
          <w:sz w:val="32"/>
        </w:rPr>
        <w:t>Phiên bản Tiếng Việt</w:t>
        <w:br/>
        <w:t>Giai đoạn 1</w:t>
      </w:r>
    </w:p>
    <w:p>
      <w:pPr>
        <w:pStyle w:val="Heading2"/>
      </w:pPr>
      <w:r>
        <w:t>Tóm tắt kế hoạch</w:t>
      </w:r>
    </w:p>
    <w:p>
      <w:r>
        <w:t>Kế hoạch này được xây dựng theo nguyên tắc 'Ưu tiên sự an toàn và phẩm giá của nạn nhân'. Áp dụng cho cư dân, thân nhân, nhân viên, tình nguyện viên, thực tập sinh, nhà thầu và khách đến cơ sở. Khi phát hiện hoặc tiếp nhận vụ việc nghi ngờ quấy rối tình dục hoặc xâm hại tình dục, cơ sở phải lập tức chấm dứt hành vi không phù hợp, bảo vệ nạn nhân, thông báo cho người có trách nhiệm, thực hiện báo cáo theo quy định, điều tra, chuyển tuyến và theo dõi.</w:t>
      </w:r>
    </w:p>
    <w:p>
      <w:pPr>
        <w:pStyle w:val="Heading2"/>
      </w:pPr>
      <w:r>
        <w:t>I. Mục đích</w:t>
      </w:r>
    </w:p>
    <w:p>
      <w:r>
        <w:t>1. Thiết lập cơ chế phòng ngừa, nhận diện, xử lý khẩn cấp, điều tra, báo cáo, chuyển tuyến và cải tiến liên tục.</w:t>
      </w:r>
    </w:p>
    <w:p>
      <w:r>
        <w:t>2. Bảo vệ quyền tự chủ thân thể, quyền riêng tư, phẩm giá và sự an toàn của cư dân.</w:t>
      </w:r>
    </w:p>
    <w:p>
      <w:r>
        <w:t>3. Quy định rõ trách nhiệm và quy trình xử lý của nhân viên nhằm tránh che giấu, chậm báo cáo hoặc gây tổn thương lần hai.</w:t>
      </w:r>
    </w:p>
    <w:p>
      <w:r>
        <w:t>4. Phối hợp nguồn lực điều dưỡng, công tác xã hội, hành chính, y tế và cơ quan chức năng.</w:t>
      </w:r>
    </w:p>
    <w:p>
      <w:r>
        <w:t>5. Nâng cao chất lượng thông qua đào tạo, tự kiểm tra và chu trình PDCA.</w:t>
      </w:r>
    </w:p>
    <w:p>
      <w:pPr>
        <w:pStyle w:val="Heading2"/>
      </w:pPr>
      <w:r>
        <w:t>II. Định nghĩa</w:t>
      </w:r>
    </w:p>
    <w:p>
      <w:pPr>
        <w:pStyle w:val="Heading3"/>
      </w:pPr>
      <w:r>
        <w:t>Quấy rối tình dục</w:t>
      </w:r>
    </w:p>
    <w:p>
      <w:r>
        <w:t>Là mọi hành vi bằng lời nói, hành động, hình ảnh, thông điệp điện tử hoặc tiếp xúc cơ thể mang tính tình dục trái với ý muốn của người khác, gây xúc phạm, đe dọa, khó chịu hoặc ảnh hưởng đến phẩm giá và cuộc sống của họ.</w:t>
      </w:r>
    </w:p>
    <w:p>
      <w:pPr>
        <w:pStyle w:val="Heading3"/>
      </w:pPr>
      <w:r>
        <w:t>Xâm hại tình dục</w:t>
      </w:r>
    </w:p>
    <w:p>
      <w:r>
        <w:t>Là mọi hành vi xâm phạm quyền tự chủ tình dục của người khác bằng vũ lực, đe dọa, ép buộc, lợi dụng quyền lực, thuốc hoặc tình trạng không thể tự bảo vệ theo quy định pháp luật.</w:t>
      </w:r>
    </w:p>
    <w:p>
      <w:pPr>
        <w:pStyle w:val="Heading3"/>
      </w:pPr>
      <w:r>
        <w:t>Sự việc nghi ngờ</w:t>
      </w:r>
    </w:p>
    <w:p>
      <w:r>
        <w:t>Là mọi dấu hiệu, báo cáo, quan sát, thương tích bất thường hoặc thay đổi hành vi cho thấy có khả năng xảy ra quấy rối hoặc xâm hại tình dục; cơ sở phải triển khai biện pháp bảo vệ ngay mà không cần chờ đủ chứng cứ.</w:t>
      </w:r>
    </w:p>
    <w:p>
      <w:r>
        <w:br w:type="page"/>
      </w:r>
    </w:p>
    <w:p>
      <w:pPr>
        <w:pStyle w:val="Heading1"/>
        <w:jc w:val="center"/>
      </w:pPr>
      <w:r>
        <w:t>Kế hoạch Phòng chống Quấy rối Tình dục</w:t>
      </w:r>
    </w:p>
    <w:p>
      <w:pPr>
        <w:jc w:val="center"/>
      </w:pPr>
      <w:r>
        <w:rPr>
          <w:b/>
        </w:rPr>
        <w:t>Phiên bản Tiếng Việt</w:t>
        <w:br/>
        <w:t>Giai đoạn 2</w:t>
      </w:r>
    </w:p>
    <w:p>
      <w:pPr>
        <w:pStyle w:val="Heading2"/>
      </w:pPr>
      <w:r>
        <w:t>III. Đối tượng áp dụng</w:t>
      </w:r>
    </w:p>
    <w:p>
      <w:r>
        <w:t>1. Toàn thể cư dân, người giám hộ hợp pháp và thân nhân chính.</w:t>
      </w:r>
    </w:p>
    <w:p>
      <w:r>
        <w:t>2. Tất cả nhân viên của cơ sở, bao gồm Giám đốc, điều dưỡng, nhân viên chăm sóc, nhân viên công tác xã hội, nhân viên hành chính và các nhân viên khác.</w:t>
      </w:r>
    </w:p>
    <w:p>
      <w:r>
        <w:t>3. Tình nguyện viên, thực tập sinh, nhà thầu, nhân viên dịch vụ chuyên môn và các đơn vị hợp tác.</w:t>
      </w:r>
    </w:p>
    <w:p>
      <w:r>
        <w:t>4. Khách thăm, người đi cùng và mọi cá nhân vào cơ sở.</w:t>
      </w:r>
    </w:p>
    <w:p>
      <w:pPr>
        <w:pStyle w:val="Heading2"/>
      </w:pPr>
      <w:r>
        <w:t>IV. Phân công trách nhiệm</w:t>
      </w:r>
    </w:p>
    <w:p>
      <w:pPr>
        <w:pStyle w:val="Heading3"/>
      </w:pPr>
      <w:r>
        <w:t>Người phát hiện sự việc</w:t>
      </w:r>
    </w:p>
    <w:p>
      <w:r>
        <w:t>Lập tức chấm dứt hành vi không phù hợp, bảo vệ nạn nhân, bảo tồn hiện trường khi cần thiết và thông báo ngay cho Giám đốc, Điều dưỡng, Quản lý trực hoặc Nhân viên công tác xã hội.</w:t>
      </w:r>
    </w:p>
    <w:p>
      <w:pPr>
        <w:pStyle w:val="Heading3"/>
      </w:pPr>
      <w:r>
        <w:t>Giám đốc / Quản lý trực</w:t>
      </w:r>
    </w:p>
    <w:p>
      <w:r>
        <w:t>Điều phối xử lý khẩn cấp, đánh giá rủi ro, thực hiện báo cáo theo quy định, huy động nguồn lực và triển khai biện pháp bảo vệ.</w:t>
      </w:r>
    </w:p>
    <w:p>
      <w:pPr>
        <w:pStyle w:val="Heading3"/>
      </w:pPr>
      <w:r>
        <w:t>Điều dưỡng</w:t>
      </w:r>
    </w:p>
    <w:p>
      <w:r>
        <w:t>Đánh giá tình trạng thể chất và tâm lý, sắp xếp điều trị, ghi nhận thương tích và hỗ trợ giám định khi cần.</w:t>
      </w:r>
    </w:p>
    <w:p>
      <w:pPr>
        <w:pStyle w:val="Heading3"/>
      </w:pPr>
      <w:r>
        <w:t>Nhân viên công tác xã hội</w:t>
      </w:r>
    </w:p>
    <w:p>
      <w:r>
        <w:t>Hỗ trợ tâm lý, tiếp nhận khiếu nại, liên hệ gia đình, chuyển tuyến dịch vụ và theo dõi sau sự việc.</w:t>
      </w:r>
    </w:p>
    <w:p>
      <w:pPr>
        <w:pStyle w:val="Heading2"/>
      </w:pPr>
      <w:r>
        <w:t>V. Quy trình xử lý (Phần I)</w:t>
      </w:r>
    </w:p>
    <w:p>
      <w:r>
        <w:t>1. Phát hiện hoặc tiếp nhận vụ việc nghi ngờ: Mọi phản ánh bằng lời nói, điện thoại, văn bản, thư điện tử hoặc từ bên thứ ba đều phải được tiếp nhận.</w:t>
      </w:r>
    </w:p>
    <w:p>
      <w:r>
        <w:t>2. Bảo vệ ngay lập tức: Chấm dứt hành vi, tách các bên liên quan, bảo vệ sự an toàn và quyền riêng tư của nạn nhân.</w:t>
      </w:r>
    </w:p>
    <w:p>
      <w:r>
        <w:t>3. Thông báo: Báo ngay cho Giám đốc, Điều dưỡng, Quản lý trực và Nhân viên công tác xã hội.</w:t>
      </w:r>
    </w:p>
    <w:p>
      <w:r>
        <w:t>4. Đánh giá rủi ro ban đầu: Đánh giá nguy cơ tức thời, thương tích, nhu cầu điều trị, nguy cơ tự gây hại hoặc bị trả thù.</w:t>
      </w:r>
    </w:p>
    <w:p>
      <w:r>
        <w:br w:type="page"/>
      </w:r>
    </w:p>
    <w:p>
      <w:pPr>
        <w:pStyle w:val="Heading1"/>
        <w:jc w:val="center"/>
      </w:pPr>
      <w:r>
        <w:t>Kế hoạch Phòng chống Quấy rối Tình dục</w:t>
      </w:r>
    </w:p>
    <w:p>
      <w:pPr>
        <w:jc w:val="center"/>
      </w:pPr>
      <w:r>
        <w:rPr>
          <w:b/>
        </w:rPr>
        <w:t>Phiên bản Tiếng Việt</w:t>
        <w:br/>
        <w:t>Giai đoạn 3</w:t>
        <w:br/>
        <w:t>V. Quy trình xử lý (Phần II)</w:t>
      </w:r>
    </w:p>
    <w:p>
      <w:pPr>
        <w:pStyle w:val="Heading2"/>
      </w:pPr>
      <w:r>
        <w:t>V. Quy trình xử lý (Phần II)</w:t>
      </w:r>
    </w:p>
    <w:p>
      <w:pPr>
        <w:pStyle w:val="Heading3"/>
      </w:pPr>
      <w:r>
        <w:t>5. Ứng phó khẩn cấp</w:t>
      </w:r>
    </w:p>
    <w:p>
      <w:r>
        <w:t>Khi có nguy cơ tức thời hoặc nghi ngờ hành vi phạm tội, cơ sở phải gọi Công an (110), liên hệ Đường dây bảo vệ (113), bố trí cấp cứu, giám định pháp y khi cần và bảo tồn chứng cứ. Khuyến cáo nạn nhân không tắm, không thay quần áo hoặc làm mất dấu vết trước khi được nhân viên y tế hướng dẫn.</w:t>
      </w:r>
    </w:p>
    <w:p>
      <w:pPr>
        <w:pStyle w:val="Heading3"/>
      </w:pPr>
      <w:r>
        <w:t>6. Lập hồ sơ và ghi nhận sự việc</w:t>
      </w:r>
    </w:p>
    <w:p>
      <w:r>
        <w:t>Nhân viên được chỉ định phải lập biên bản khách quan, ghi rõ thời gian, địa điểm, người liên quan, diễn biến, biện pháp đã thực hiện và kế hoạch theo dõi; không đưa ý kiến chủ quan vào hồ sơ.</w:t>
      </w:r>
    </w:p>
    <w:p>
      <w:pPr>
        <w:pStyle w:val="Heading3"/>
      </w:pPr>
      <w:r>
        <w:t>7. Xác định căn cứ pháp lý</w:t>
      </w:r>
    </w:p>
    <w:p>
      <w:r>
        <w:t>Cơ sở đánh giá tính chất vụ việc theo quy định pháp luật hiện hành. Khi chưa xác định rõ, ưu tiên bảo vệ cư dân và xin ý kiến cơ quan có thẩm quyền.</w:t>
      </w:r>
    </w:p>
    <w:p>
      <w:pPr>
        <w:pStyle w:val="Heading3"/>
      </w:pPr>
      <w:r>
        <w:t>8. Điều tra</w:t>
      </w:r>
    </w:p>
    <w:p>
      <w:r>
        <w:t>Thành lập nhóm điều tra công bằng, bảo mật và tránh xung đột lợi ích. Hạn chế hỏi lặp lại nạn nhân để giảm tổn thương tâm lý.</w:t>
      </w:r>
    </w:p>
    <w:p>
      <w:pPr>
        <w:pStyle w:val="Heading3"/>
      </w:pPr>
      <w:r>
        <w:t>9. Biện pháp khắc phục</w:t>
      </w:r>
    </w:p>
    <w:p>
      <w:r>
        <w:t>Nếu xác minh có hành vi vi phạm, áp dụng các biện pháp như điều chuyển công việc, đình chỉ, kỷ luật, tăng cường đào tạo, cải thiện môi trường hoặc chuyển hồ sơ cho cơ quan tư pháp theo quy định.</w:t>
      </w:r>
    </w:p>
    <w:p>
      <w:pPr>
        <w:pStyle w:val="Heading3"/>
      </w:pPr>
      <w:r>
        <w:t>10. Theo dõi và kết thúc vụ việc</w:t>
      </w:r>
    </w:p>
    <w:p>
      <w:r>
        <w:t>Tiếp tục theo dõi sức khỏe thể chất và tinh thần của nạn nhân, đánh giá hiệu quả các biện pháp bảo vệ, lưu hồ sơ đầy đủ và chỉ kết thúc vụ việc sau khi hoàn tất mọi thủ tục cần thiết.</w:t>
      </w:r>
    </w:p>
    <w:p>
      <w:pPr>
        <w:pStyle w:val="Heading2"/>
      </w:pPr>
      <w:r>
        <w:t>Nguyên tắc thực hiện</w:t>
      </w:r>
    </w:p>
    <w:p>
      <w:r>
        <w:t>• Ưu tiên sự an toàn và phẩm giá của nạn nhân.</w:t>
      </w:r>
    </w:p>
    <w:p>
      <w:r>
        <w:t>• Tuân thủ nghiêm ngặt nguyên tắc bảo mật.</w:t>
      </w:r>
    </w:p>
    <w:p>
      <w:r>
        <w:t>• Nghiêm cấm mọi hành vi trả đũa người khiếu nại, người làm chứng hoặc người báo cáo.</w:t>
      </w:r>
    </w:p>
    <w:p>
      <w:r>
        <w:t>• Mọi vụ việc phải được xem xét và cải tiến thông qua chu trình PDCA.</w:t>
      </w:r>
    </w:p>
    <w:p>
      <w:r>
        <w:br w:type="page"/>
      </w:r>
    </w:p>
    <w:p>
      <w:pPr>
        <w:pStyle w:val="Heading1"/>
        <w:jc w:val="center"/>
      </w:pPr>
      <w:r>
        <w:t>Kế hoạch Phòng chống Quấy rối Tình dục</w:t>
      </w:r>
    </w:p>
    <w:p>
      <w:pPr>
        <w:jc w:val="center"/>
      </w:pPr>
      <w:r>
        <w:rPr>
          <w:b/>
        </w:rPr>
        <w:t>Phiên bản Tiếng Việt</w:t>
        <w:br/>
        <w:t>Giai đoạn 4</w:t>
        <w:br/>
        <w:t>VI. Bảo vệ cư dân</w:t>
        <w:br/>
        <w:t>VII. Quy trình báo cáo</w:t>
      </w:r>
    </w:p>
    <w:p>
      <w:pPr>
        <w:pStyle w:val="Heading2"/>
      </w:pPr>
      <w:r>
        <w:t>VI. Bảo vệ cư dân</w:t>
      </w:r>
    </w:p>
    <w:p>
      <w:pPr>
        <w:pStyle w:val="Heading3"/>
      </w:pPr>
      <w:r>
        <w:t>An toàn và phẩm giá của cư dân</w:t>
      </w:r>
    </w:p>
    <w:p>
      <w:r>
        <w:t>Mọi cư dân đều có quyền được bảo vệ về an toàn, quyền riêng tư, phẩm giá và quyền tự quyết. Cơ sở phải tôn trọng ý chí của cư dân và thực hiện mọi biện pháp cần thiết để ngăn ngừa tổn hại.</w:t>
      </w:r>
    </w:p>
    <w:p>
      <w:pPr>
        <w:pStyle w:val="Heading3"/>
      </w:pPr>
      <w:r>
        <w:t>Bảo vệ quyền riêng tư</w:t>
      </w:r>
    </w:p>
    <w:p>
      <w:r>
        <w:t>Các hoạt động chăm sóc như tắm rửa, thay quần áo, chăm sóc vết thương hoặc các thủ thuật riêng tư phải được giải thích trước, có sự đồng ý khi phù hợp và được thực hiện trong môi trường bảo đảm kín đáo.</w:t>
      </w:r>
    </w:p>
    <w:p>
      <w:pPr>
        <w:pStyle w:val="Heading3"/>
      </w:pPr>
      <w:r>
        <w:t>Tách biệt các bên liên quan</w:t>
      </w:r>
    </w:p>
    <w:p>
      <w:r>
        <w:t>Khi cần thiết, nạn nhân và người bị tố cáo phải được tách riêng ngay lập tức nhằm ngăn ngừa tổn hại tiếp diễn, đe dọa hoặc cản trở việc điều tra.</w:t>
      </w:r>
    </w:p>
    <w:p>
      <w:pPr>
        <w:pStyle w:val="Heading3"/>
      </w:pPr>
      <w:r>
        <w:t>Hỗ trợ toàn diện</w:t>
      </w:r>
    </w:p>
    <w:p>
      <w:r>
        <w:t>Cơ sở cung cấp hỗ trợ y tế, tư vấn tâm lý, công tác xã hội, tư vấn pháp lý, hỗ trợ thông dịch (nếu cần) và hỗ trợ gia đình trong suốt quá trình xử lý vụ việc.</w:t>
      </w:r>
    </w:p>
    <w:p>
      <w:pPr>
        <w:pStyle w:val="Heading3"/>
      </w:pPr>
      <w:r>
        <w:t>Cấm trả đũa</w:t>
      </w:r>
    </w:p>
    <w:p>
      <w:r>
        <w:t>Nghiêm cấm mọi hành vi trả đũa đối với nạn nhân, người khiếu nại, người làm chứng hoặc người báo cáo.</w:t>
      </w:r>
    </w:p>
    <w:p>
      <w:pPr>
        <w:pStyle w:val="Heading2"/>
      </w:pPr>
      <w:r>
        <w:t>VII. Quy trình báo cáo</w:t>
      </w:r>
    </w:p>
    <w:p>
      <w:r>
        <w:t>1. Phát hiện hoặc tiếp nhận vụ việc nghi ngờ.</w:t>
      </w:r>
    </w:p>
    <w:p>
      <w:r>
        <w:t>2. Lập tức chấm dứt hành vi, bảo vệ nạn nhân và tách các bên liên quan.</w:t>
      </w:r>
    </w:p>
    <w:p>
      <w:r>
        <w:t>3. Thông báo ngay cho Giám đốc, Điều dưỡng, Quản lý trực và Nhân viên công tác xã hội.</w:t>
      </w:r>
    </w:p>
    <w:p>
      <w:r>
        <w:t>4. Đánh giá nguy cơ khẩn cấp, thương tích và dấu hiệu phạm tội.</w:t>
      </w:r>
    </w:p>
    <w:p>
      <w:r>
        <w:t>5. Khi cần, liên hệ Công an (110), Đường dây bảo vệ (113) và bố trí điều trị, giám định.</w:t>
      </w:r>
    </w:p>
    <w:p>
      <w:r>
        <w:t>6. Hoàn thành báo cáo theo quy định của cơ quan có thẩm quyền.</w:t>
      </w:r>
    </w:p>
    <w:p>
      <w:r>
        <w:t>7. Triển khai điều tra, hỗ trợ cư dân, chuyển tuyến và theo dõi.</w:t>
      </w:r>
    </w:p>
    <w:p>
      <w:r>
        <w:t>8. Đánh giá kết quả theo chu trình PDCA và kết thúc vụ việc.</w:t>
      </w:r>
    </w:p>
    <w:p>
      <w:pPr>
        <w:pStyle w:val="Heading2"/>
      </w:pPr>
      <w:r>
        <w:t>Lưu ý quan trọng</w:t>
      </w:r>
    </w:p>
    <w:p>
      <w:r>
        <w:t>• Ưu tiên bảo vệ cư dân hơn các thủ tục hành chính.</w:t>
      </w:r>
    </w:p>
    <w:p>
      <w:r>
        <w:t>• Không trì hoãn việc báo cáo vì chưa đủ chứng cứ.</w:t>
      </w:r>
    </w:p>
    <w:p>
      <w:r>
        <w:t>• Giữ bí mật tuyệt đối trong toàn bộ quá trình.</w:t>
      </w:r>
    </w:p>
    <w:p>
      <w:r>
        <w:t>• Ghi chép đầy đủ, chính xác và khách quan.</w:t>
      </w:r>
    </w:p>
    <w:p>
      <w:r>
        <w:br w:type="page"/>
      </w:r>
    </w:p>
    <w:p>
      <w:pPr>
        <w:pStyle w:val="Heading1"/>
        <w:jc w:val="center"/>
      </w:pPr>
      <w:r>
        <w:t>Kế hoạch Phòng chống Quấy rối Tình dục</w:t>
      </w:r>
    </w:p>
    <w:p>
      <w:pPr>
        <w:jc w:val="center"/>
      </w:pPr>
      <w:r>
        <w:rPr>
          <w:b/>
        </w:rPr>
        <w:t>Phiên bản Tiếng Việt</w:t>
        <w:br/>
        <w:t>Giai đoạn 5</w:t>
        <w:br/>
        <w:t>VIII. Dịch vụ chuyển tuyến</w:t>
        <w:br/>
        <w:t>IX. Biện pháp phòng ngừa</w:t>
      </w:r>
    </w:p>
    <w:p>
      <w:pPr>
        <w:pStyle w:val="Heading2"/>
      </w:pPr>
      <w:r>
        <w:t>VIII. Dịch vụ chuyển tuyến</w:t>
      </w:r>
    </w:p>
    <w:p>
      <w:pPr>
        <w:pStyle w:val="Heading3"/>
      </w:pPr>
      <w:r>
        <w:t>Bảo vệ khẩn cấp</w:t>
      </w:r>
    </w:p>
    <w:p>
      <w:r>
        <w:t>Phối hợp ngay với Công an (110), Đường dây bảo vệ (113) và cơ quan có thẩm quyền khi cư dân có nguy cơ bị tổn hại hoặc tiếp tục bị xâm hại.</w:t>
      </w:r>
    </w:p>
    <w:p>
      <w:pPr>
        <w:pStyle w:val="Heading3"/>
      </w:pPr>
      <w:r>
        <w:t>Dịch vụ y tế và giám định</w:t>
      </w:r>
    </w:p>
    <w:p>
      <w:r>
        <w:t>Sắp xếp điều trị khẩn cấp, giám định pháp y, phòng ngừa nhiễm trùng, chăm sóc tiếp tục và bảo tồn chứng cứ theo quy định.</w:t>
      </w:r>
    </w:p>
    <w:p>
      <w:pPr>
        <w:pStyle w:val="Heading3"/>
      </w:pPr>
      <w:r>
        <w:t>Hỗ trợ tâm lý và công tác xã hội</w:t>
      </w:r>
    </w:p>
    <w:p>
      <w:r>
        <w:t>Cung cấp tư vấn tâm lý, hỗ trợ công tác xã hội, can thiệp khủng hoảng và theo dõi lâu dài cho nạn nhân và gia đình.</w:t>
      </w:r>
    </w:p>
    <w:p>
      <w:pPr>
        <w:pStyle w:val="Heading3"/>
      </w:pPr>
      <w:r>
        <w:t>Hỗ trợ pháp lý</w:t>
      </w:r>
    </w:p>
    <w:p>
      <w:r>
        <w:t>Hỗ trợ tiếp cận tư vấn pháp luật, dịch vụ bảo vệ nạn nhân và phối hợp với cơ quan tư pháp khi cần thiết.</w:t>
      </w:r>
    </w:p>
    <w:p>
      <w:pPr>
        <w:pStyle w:val="Heading3"/>
      </w:pPr>
      <w:r>
        <w:t>Chuyển tuyến và hỗ trợ dài hạn</w:t>
      </w:r>
    </w:p>
    <w:p>
      <w:r>
        <w:t>Khi cần, chuyển cư dân đến cơ sở y tế, cơ sở chăm sóc khác hoặc các dịch vụ cộng đồng phù hợp nhằm bảo đảm an toàn liên tục.</w:t>
      </w:r>
    </w:p>
    <w:p>
      <w:pPr>
        <w:pStyle w:val="Heading2"/>
      </w:pPr>
      <w:r>
        <w:t>IX. Biện pháp phòng ngừa</w:t>
      </w:r>
    </w:p>
    <w:p>
      <w:pPr>
        <w:pStyle w:val="Heading3"/>
      </w:pPr>
      <w:r>
        <w:t>Chính sách không khoan nhượng</w:t>
      </w:r>
    </w:p>
    <w:p>
      <w:r>
        <w:t>Công khai chính sách không khoan nhượng đối với quấy rối và xâm hại tình dục, đồng thời thiết lập nhiều kênh khiếu nại dễ tiếp cận.</w:t>
      </w:r>
    </w:p>
    <w:p>
      <w:pPr>
        <w:pStyle w:val="Heading3"/>
      </w:pPr>
      <w:r>
        <w:t>Đào tạo và bồi dưỡng</w:t>
      </w:r>
    </w:p>
    <w:p>
      <w:r>
        <w:t>Toàn thể nhân viên phải hoàn thành đào tạo ban đầu và đào tạo hằng năm về bảo vệ cư dân, phòng chống quấy rối tình dục, nghĩa vụ báo cáo và bảo mật.</w:t>
      </w:r>
    </w:p>
    <w:p>
      <w:pPr>
        <w:pStyle w:val="Heading3"/>
      </w:pPr>
      <w:r>
        <w:t>Ranh giới nghề nghiệp</w:t>
      </w:r>
    </w:p>
    <w:p>
      <w:r>
        <w:t>Nhân viên không được có hành vi tiếp xúc thân thể không cần thiết, lời nói không phù hợp, quan hệ cá nhân không đúng mực hoặc chụp ảnh, ghi hình trái phép.</w:t>
      </w:r>
    </w:p>
    <w:p>
      <w:pPr>
        <w:pStyle w:val="Heading3"/>
      </w:pPr>
      <w:r>
        <w:t>An toàn môi trường</w:t>
      </w:r>
    </w:p>
    <w:p>
      <w:r>
        <w:t>Định kỳ kiểm tra hệ thống camera, chiếu sáng, kiểm soát ra vào, phòng tắm, phòng ở và các khu vực có nguy cơ nhưng vẫn bảo đảm quyền riêng tư.</w:t>
      </w:r>
    </w:p>
    <w:p>
      <w:pPr>
        <w:pStyle w:val="Heading3"/>
      </w:pPr>
      <w:r>
        <w:t>Bảo vệ cư dân có nguy cơ cao</w:t>
      </w:r>
    </w:p>
    <w:p>
      <w:r>
        <w:t>Tăng cường giám sát và đánh giá đa chuyên ngành đối với cư dân sa sút trí tuệ, khó giao tiếp, khuyết tật nặng hoặc thiếu hỗ trợ từ gia đình.</w:t>
      </w:r>
    </w:p>
    <w:p>
      <w:pPr>
        <w:pStyle w:val="Heading3"/>
      </w:pPr>
      <w:r>
        <w:t>Quản lý khách và nhà thầu</w:t>
      </w:r>
    </w:p>
    <w:p>
      <w:r>
        <w:t>Khách thăm, nhà thầu, tình nguyện viên và thực tập sinh phải tuân thủ quy định của cơ sở; có thể bị từ chối tiếp cận nếu ảnh hưởng đến an toàn cư dân.</w:t>
      </w:r>
    </w:p>
    <w:p>
      <w:pPr>
        <w:pStyle w:val="Heading3"/>
      </w:pPr>
      <w:r>
        <w:t>Giáo dục cư dân và gia đình</w:t>
      </w:r>
    </w:p>
    <w:p>
      <w:r>
        <w:t>Thường xuyên tuyên truyền về quyền tự chủ thân thể, quy trình khiếu nại, nguồn lực hỗ trợ và các số điện thoại khẩn cấp.</w:t>
      </w:r>
    </w:p>
    <w:p>
      <w:pPr>
        <w:pStyle w:val="Heading3"/>
      </w:pPr>
      <w:r>
        <w:t>Tự kiểm tra và cải tiến</w:t>
      </w:r>
    </w:p>
    <w:p>
      <w:r>
        <w:t>Thực hiện kiểm tra định kỳ, diễn tập, phân tích vụ việc và cải tiến liên tục theo hệ thống quản lý chất lượng.</w:t>
      </w:r>
    </w:p>
    <w:p>
      <w:r>
        <w:br w:type="page"/>
      </w:r>
    </w:p>
    <w:p>
      <w:pPr>
        <w:pStyle w:val="Heading1"/>
        <w:jc w:val="center"/>
      </w:pPr>
      <w:r>
        <w:t>Kế hoạch Phòng chống Quấy rối Tình dục</w:t>
      </w:r>
    </w:p>
    <w:p>
      <w:pPr>
        <w:jc w:val="center"/>
      </w:pPr>
      <w:r>
        <w:rPr>
          <w:b/>
        </w:rPr>
        <w:t>Phiên bản Tiếng Việt</w:t>
        <w:br/>
        <w:t>Giai đoạn 6</w:t>
        <w:br/>
        <w:t>X. Thông tin liên hệ</w:t>
        <w:br/>
        <w:t>XI. Lưu trữ hồ sơ và bảo mật</w:t>
        <w:br/>
        <w:t>XII. Cải tiến liên tục theo PDCA</w:t>
        <w:br/>
        <w:t>Phụ lục</w:t>
      </w:r>
    </w:p>
    <w:p>
      <w:pPr>
        <w:pStyle w:val="Heading2"/>
      </w:pPr>
      <w:r>
        <w:t>X. Thông tin liên hệ</w:t>
      </w:r>
    </w:p>
    <w:p>
      <w:r>
        <w:t>Email: icheheart0203@gmail.com</w:t>
      </w:r>
    </w:p>
    <w:p>
      <w:r>
        <w:t>Điện thoại cơ sở: 03-3015051</w:t>
      </w:r>
    </w:p>
    <w:p>
      <w:r>
        <w:t>Giám đốc: 0928832987</w:t>
      </w:r>
    </w:p>
    <w:p>
      <w:r>
        <w:t>Đường dây bảo vệ: 113</w:t>
      </w:r>
    </w:p>
    <w:p>
      <w:r>
        <w:t>Khẩn cấp Công an: 110</w:t>
      </w:r>
    </w:p>
    <w:p>
      <w:pPr>
        <w:pStyle w:val="Heading2"/>
      </w:pPr>
      <w:r>
        <w:t>XI. Lưu trữ hồ sơ và bảo mật</w:t>
      </w:r>
    </w:p>
    <w:p>
      <w:r>
        <w:t>Tất cả hồ sơ khiếu nại, điều tra, báo cáo, chuyển tuyến, điều trị và theo dõi phải được lưu trữ an toàn theo quy định pháp luật và quy chế quản lý hồ sơ của cơ sở. Chỉ những người được ủy quyền mới được truy cập. Thông tin cá nhân không được tiết lộ, trừ trường hợp pháp luật yêu cầu hoặc cần thiết để bảo vệ cư dân và phục vụ quá trình điều tra.</w:t>
      </w:r>
    </w:p>
    <w:p>
      <w:pPr>
        <w:pStyle w:val="Heading2"/>
      </w:pPr>
      <w:r>
        <w:t>XII. Cải tiến liên tục theo PDCA</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Giai đoạn</w:t>
            </w:r>
          </w:p>
        </w:tc>
        <w:tc>
          <w:tcPr>
            <w:tcW w:type="dxa" w:w="2160"/>
          </w:tcPr>
          <w:p>
            <w:r>
              <w:t>Mục tiêu</w:t>
            </w:r>
          </w:p>
        </w:tc>
        <w:tc>
          <w:tcPr>
            <w:tcW w:type="dxa" w:w="2160"/>
          </w:tcPr>
          <w:p>
            <w:r>
              <w:t>Thực hiện</w:t>
            </w:r>
          </w:p>
        </w:tc>
        <w:tc>
          <w:tcPr>
            <w:tcW w:type="dxa" w:w="2160"/>
          </w:tcPr>
          <w:p>
            <w:r>
              <w:t>Minh chứng</w:t>
            </w:r>
          </w:p>
        </w:tc>
      </w:tr>
      <w:tr>
        <w:tc>
          <w:tcPr>
            <w:tcW w:type="dxa" w:w="2160"/>
          </w:tcPr>
          <w:p>
            <w:r>
              <w:t>Plan</w:t>
            </w:r>
          </w:p>
        </w:tc>
        <w:tc>
          <w:tcPr>
            <w:tcW w:type="dxa" w:w="2160"/>
          </w:tcPr>
          <w:p>
            <w:r>
              <w:t>Đánh giá rủi ro và lập kế hoạch năm</w:t>
            </w:r>
          </w:p>
        </w:tc>
        <w:tc>
          <w:tcPr>
            <w:tcW w:type="dxa" w:w="2160"/>
          </w:tcPr>
          <w:p>
            <w:r>
              <w:t>Xây dựng kế hoạch đào tạo và phòng ngừa</w:t>
            </w:r>
          </w:p>
        </w:tc>
        <w:tc>
          <w:tcPr>
            <w:tcW w:type="dxa" w:w="2160"/>
          </w:tcPr>
          <w:p>
            <w:r>
              <w:t>Kế hoạch, biên bản họp</w:t>
            </w:r>
          </w:p>
        </w:tc>
      </w:tr>
      <w:tr>
        <w:tc>
          <w:tcPr>
            <w:tcW w:type="dxa" w:w="2160"/>
          </w:tcPr>
          <w:p>
            <w:r>
              <w:t>Do</w:t>
            </w:r>
          </w:p>
        </w:tc>
        <w:tc>
          <w:tcPr>
            <w:tcW w:type="dxa" w:w="2160"/>
          </w:tcPr>
          <w:p>
            <w:r>
              <w:t>Triển khai đào tạo và tuyên truyền</w:t>
            </w:r>
          </w:p>
        </w:tc>
        <w:tc>
          <w:tcPr>
            <w:tcW w:type="dxa" w:w="2160"/>
          </w:tcPr>
          <w:p>
            <w:r>
              <w:t>Đào tạo nhân viên, cư dân và gia đình</w:t>
            </w:r>
          </w:p>
        </w:tc>
        <w:tc>
          <w:tcPr>
            <w:tcW w:type="dxa" w:w="2160"/>
          </w:tcPr>
          <w:p>
            <w:r>
              <w:t>Danh sách ký tên, hình ảnh</w:t>
            </w:r>
          </w:p>
        </w:tc>
      </w:tr>
      <w:tr>
        <w:tc>
          <w:tcPr>
            <w:tcW w:type="dxa" w:w="2160"/>
          </w:tcPr>
          <w:p>
            <w:r>
              <w:t>Check</w:t>
            </w:r>
          </w:p>
        </w:tc>
        <w:tc>
          <w:tcPr>
            <w:tcW w:type="dxa" w:w="2160"/>
          </w:tcPr>
          <w:p>
            <w:r>
              <w:t>Đánh giá hiệu quả</w:t>
            </w:r>
          </w:p>
        </w:tc>
        <w:tc>
          <w:tcPr>
            <w:tcW w:type="dxa" w:w="2160"/>
          </w:tcPr>
          <w:p>
            <w:r>
              <w:t>Phân tích vụ việc và kết quả kiểm tra</w:t>
            </w:r>
          </w:p>
        </w:tc>
        <w:tc>
          <w:tcPr>
            <w:tcW w:type="dxa" w:w="2160"/>
          </w:tcPr>
          <w:p>
            <w:r>
              <w:t>Biên bản họp chất lượng</w:t>
            </w:r>
          </w:p>
        </w:tc>
      </w:tr>
      <w:tr>
        <w:tc>
          <w:tcPr>
            <w:tcW w:type="dxa" w:w="2160"/>
          </w:tcPr>
          <w:p>
            <w:r>
              <w:t>Act</w:t>
            </w:r>
          </w:p>
        </w:tc>
        <w:tc>
          <w:tcPr>
            <w:tcW w:type="dxa" w:w="2160"/>
          </w:tcPr>
          <w:p>
            <w:r>
              <w:t>Cải tiến liên tục</w:t>
            </w:r>
          </w:p>
        </w:tc>
        <w:tc>
          <w:tcPr>
            <w:tcW w:type="dxa" w:w="2160"/>
          </w:tcPr>
          <w:p>
            <w:r>
              <w:t>Sửa đổi SOP và tăng cường biện pháp phòng ngừa</w:t>
            </w:r>
          </w:p>
        </w:tc>
        <w:tc>
          <w:tcPr>
            <w:tcW w:type="dxa" w:w="2160"/>
          </w:tcPr>
          <w:p>
            <w:r>
              <w:t>Báo cáo cải tiến</w:t>
            </w:r>
          </w:p>
        </w:tc>
      </w:tr>
    </w:tbl>
    <w:p>
      <w:pPr>
        <w:pStyle w:val="Heading2"/>
      </w:pPr>
      <w:r>
        <w:t>Phụ lục A – Danh sách kiểm tra xử lý ban đầu</w:t>
      </w:r>
    </w:p>
    <w:p>
      <w:r>
        <w:t>☐ Chấm dứt ngay hành vi không phù hợp.</w:t>
      </w:r>
    </w:p>
    <w:p>
      <w:r>
        <w:t>☐ Bảo vệ nạn nhân và tách các bên liên quan.</w:t>
      </w:r>
    </w:p>
    <w:p>
      <w:r>
        <w:t>☐ Thông báo Giám đốc, Điều dưỡng, Quản lý trực và Nhân viên công tác xã hội.</w:t>
      </w:r>
    </w:p>
    <w:p>
      <w:r>
        <w:t>☐ Đánh giá thương tích và nguy cơ khẩn cấp.</w:t>
      </w:r>
    </w:p>
    <w:p>
      <w:r>
        <w:t>☐ Liên hệ 110, 113 và bố trí điều trị khi cần.</w:t>
      </w:r>
    </w:p>
    <w:p>
      <w:r>
        <w:t>☐ Bảo tồn chứng cứ và lập hồ sơ khách quan.</w:t>
      </w:r>
    </w:p>
    <w:p>
      <w:r>
        <w:t>☐ Thực hiện báo cáo, điều tra, chuyển tuyến và theo dõi.</w:t>
      </w:r>
    </w:p>
    <w:p>
      <w:pPr>
        <w:pStyle w:val="Heading2"/>
      </w:pPr>
      <w:r>
        <w:t>Phụ lục B – Biểu mẫu khuyến nghị</w:t>
      </w:r>
    </w:p>
    <w:p>
      <w:r>
        <w:t>• Biểu mẫu báo cáo sự việc</w:t>
      </w:r>
    </w:p>
    <w:p>
      <w:r>
        <w:t>• Biên bản điều tra</w:t>
      </w:r>
    </w:p>
    <w:p>
      <w:r>
        <w:t>• Phiếu theo dõi nạn nhân</w:t>
      </w:r>
    </w:p>
    <w:p>
      <w:r>
        <w:t>• Biểu mẫu chuyển tuyến</w:t>
      </w:r>
    </w:p>
    <w:p>
      <w:r>
        <w:t>• Danh sách đào tạo</w:t>
      </w:r>
    </w:p>
    <w:p>
      <w:r>
        <w:t>• Bảng tự kiểm tra hằng năm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